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exact"/>
        <w:rPr>
          <w:sz w:val="20"/>
          <w:szCs w:val="20"/>
        </w:rPr>
      </w:pPr>
    </w:p>
    <w:tbl>
      <w:tblPr>
        <w:tblStyle w:val="7"/>
        <w:tblW w:w="1213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>
        <w:trPr>
          <w:trHeight w:val="499" w:hRule="atLeast"/>
        </w:trPr>
        <w:tc>
          <w:tcPr>
            <w:tcW w:w="48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BatangChe" w:hAnsi="BatangChe" w:eastAsia="BatangChe" w:cs="宋体"/>
                <w:sz w:val="24"/>
                <w:szCs w:val="24"/>
                <w:lang w:eastAsia="zh-CN"/>
              </w:rPr>
            </w:pPr>
            <w:r>
              <w:rPr>
                <w:rFonts w:ascii="BatangChe" w:hAnsi="BatangChe" w:eastAsia="BatangChe" w:cs="宋体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228600</wp:posOffset>
                  </wp:positionV>
                  <wp:extent cx="4333875" cy="676275"/>
                  <wp:effectExtent l="19050" t="0" r="9525" b="0"/>
                  <wp:wrapNone/>
                  <wp:docPr id="1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38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BatangChe" w:hAnsi="BatangChe" w:eastAsia="BatangChe" w:cs="宋体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123825</wp:posOffset>
                  </wp:positionV>
                  <wp:extent cx="1428750" cy="476250"/>
                  <wp:effectExtent l="0" t="0" r="635" b="635"/>
                  <wp:wrapNone/>
                  <wp:docPr id="11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그림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7"/>
              <w:tblW w:w="462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62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9" w:hRule="atLeast"/>
                <w:tblCellSpacing w:w="0" w:type="dxa"/>
              </w:trPr>
              <w:tc>
                <w:tcPr>
                  <w:tcW w:w="4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rPr>
                      <w:rFonts w:ascii="Times New Roman" w:hAnsi="Times New Roman" w:eastAsia="BatangChe" w:cs="Times New Roman"/>
                      <w:b/>
                      <w:bCs/>
                      <w:sz w:val="32"/>
                      <w:szCs w:val="32"/>
                      <w:u w:val="single"/>
                      <w:lang w:eastAsia="zh-CN"/>
                    </w:rPr>
                  </w:pPr>
                </w:p>
              </w:tc>
            </w:tr>
          </w:tbl>
          <w:p>
            <w:pPr>
              <w:widowControl/>
              <w:rPr>
                <w:rFonts w:ascii="BatangChe" w:hAnsi="BatangChe" w:eastAsia="BatangChe" w:cs="宋体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BatangChe" w:cs="Times New Roman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Times New Roman" w:hAnsi="Times New Roman" w:eastAsia="BatangChe" w:cs="Times New Roman"/>
                <w:sz w:val="24"/>
                <w:szCs w:val="24"/>
                <w:lang w:eastAsia="zh-CN"/>
              </w:rPr>
            </w:pPr>
          </w:p>
        </w:tc>
      </w:tr>
    </w:tbl>
    <w:p>
      <w:pPr>
        <w:spacing w:before="19" w:line="260" w:lineRule="exact"/>
        <w:rPr>
          <w:sz w:val="26"/>
          <w:szCs w:val="26"/>
        </w:rPr>
      </w:pPr>
    </w:p>
    <w:p>
      <w:pPr>
        <w:spacing w:before="42"/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>
        <w:rPr>
          <w:rFonts w:ascii="Times New Roman" w:hAnsi="Times New Roman" w:eastAsia="Times New Roman" w:cs="Times New Roman"/>
          <w:b/>
          <w:bCs/>
          <w:spacing w:val="-42"/>
          <w:sz w:val="36"/>
          <w:szCs w:val="36"/>
        </w:rPr>
        <w:t>T</w:t>
      </w:r>
      <w:r>
        <w:rPr>
          <w:rFonts w:ascii="Times New Roman" w:hAnsi="Times New Roman" w:eastAsia="Times New Roman" w:cs="Times New Roman"/>
          <w:b/>
          <w:bCs/>
          <w:sz w:val="36"/>
          <w:szCs w:val="36"/>
        </w:rPr>
        <w:t>echnical</w:t>
      </w:r>
      <w:r>
        <w:rPr>
          <w:rFonts w:hint="eastAsia" w:ascii="Times New Roman" w:hAnsi="Times New Roman" w:cs="Times New Roman"/>
          <w:b/>
          <w:bCs/>
          <w:sz w:val="36"/>
          <w:szCs w:val="36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36"/>
          <w:szCs w:val="36"/>
        </w:rPr>
        <w:t>D</w:t>
      </w:r>
      <w:r>
        <w:rPr>
          <w:rFonts w:ascii="Times New Roman" w:hAnsi="Times New Roman" w:eastAsia="Times New Roman" w:cs="Times New Roman"/>
          <w:b/>
          <w:bCs/>
          <w:spacing w:val="3"/>
          <w:sz w:val="36"/>
          <w:szCs w:val="36"/>
        </w:rPr>
        <w:t>a</w:t>
      </w:r>
      <w:r>
        <w:rPr>
          <w:rFonts w:ascii="Times New Roman" w:hAnsi="Times New Roman" w:eastAsia="Times New Roman" w:cs="Times New Roman"/>
          <w:b/>
          <w:bCs/>
          <w:sz w:val="36"/>
          <w:szCs w:val="36"/>
        </w:rPr>
        <w:t>ta</w:t>
      </w:r>
      <w:r>
        <w:rPr>
          <w:rFonts w:hint="eastAsia" w:ascii="Times New Roman" w:hAnsi="Times New Roman" w:cs="Times New Roman"/>
          <w:b/>
          <w:bCs/>
          <w:sz w:val="36"/>
          <w:szCs w:val="36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36"/>
          <w:szCs w:val="36"/>
        </w:rPr>
        <w:t>S</w:t>
      </w:r>
      <w:r>
        <w:rPr>
          <w:rFonts w:ascii="Times New Roman" w:hAnsi="Times New Roman" w:eastAsia="Times New Roman" w:cs="Times New Roman"/>
          <w:b/>
          <w:bCs/>
          <w:spacing w:val="1"/>
          <w:sz w:val="36"/>
          <w:szCs w:val="36"/>
        </w:rPr>
        <w:t>h</w:t>
      </w:r>
      <w:r>
        <w:rPr>
          <w:rFonts w:ascii="Times New Roman" w:hAnsi="Times New Roman" w:eastAsia="Times New Roman" w:cs="Times New Roman"/>
          <w:b/>
          <w:bCs/>
          <w:sz w:val="36"/>
          <w:szCs w:val="36"/>
        </w:rPr>
        <w:t>eet</w:t>
      </w:r>
    </w:p>
    <w:p>
      <w:pPr>
        <w:kinsoku w:val="0"/>
        <w:overflowPunct w:val="0"/>
        <w:autoSpaceDE w:val="0"/>
        <w:autoSpaceDN w:val="0"/>
        <w:adjustRightInd w:val="0"/>
        <w:ind w:left="100"/>
        <w:outlineLvl w:val="0"/>
        <w:rPr>
          <w:rFonts w:hint="default" w:ascii="微软雅黑" w:hAnsi="Times New Roman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>金红石型钛白粉：</w:t>
      </w:r>
      <w:r>
        <w:rPr>
          <w:rFonts w:hint="eastAsia" w:ascii="微软雅黑" w:hAnsi="Times New Roman" w:eastAsia="微软雅黑" w:cs="微软雅黑"/>
          <w:sz w:val="24"/>
          <w:szCs w:val="24"/>
          <w:lang w:val="en-US" w:eastAsia="zh-CN"/>
        </w:rPr>
        <w:t>NT</w:t>
      </w: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>R-</w:t>
      </w:r>
      <w:r>
        <w:rPr>
          <w:rFonts w:hint="eastAsia" w:ascii="微软雅黑" w:hAnsi="Times New Roman" w:eastAsia="微软雅黑" w:cs="微软雅黑"/>
          <w:sz w:val="24"/>
          <w:szCs w:val="24"/>
          <w:lang w:val="en-US" w:eastAsia="zh-CN"/>
        </w:rPr>
        <w:t>868</w:t>
      </w: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 xml:space="preserve">                                               </w:t>
      </w:r>
      <w:r>
        <w:rPr>
          <w:rFonts w:ascii="微软雅黑" w:hAnsi="Times New Roman" w:eastAsia="微软雅黑" w:cs="微软雅黑"/>
          <w:sz w:val="24"/>
          <w:szCs w:val="24"/>
          <w:lang w:eastAsia="zh-CN"/>
        </w:rPr>
        <w:t>Rutile</w:t>
      </w: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 xml:space="preserve"> </w:t>
      </w:r>
      <w:r>
        <w:rPr>
          <w:rFonts w:ascii="微软雅黑" w:hAnsi="Times New Roman" w:eastAsia="微软雅黑" w:cs="微软雅黑"/>
          <w:sz w:val="24"/>
          <w:szCs w:val="24"/>
          <w:lang w:eastAsia="zh-CN"/>
        </w:rPr>
        <w:t>Titan</w:t>
      </w:r>
      <w:r>
        <w:rPr>
          <w:rFonts w:ascii="微软雅黑" w:hAnsi="Times New Roman" w:eastAsia="微软雅黑" w:cs="微软雅黑"/>
          <w:spacing w:val="2"/>
          <w:sz w:val="24"/>
          <w:szCs w:val="24"/>
          <w:lang w:eastAsia="zh-CN"/>
        </w:rPr>
        <w:t>i</w:t>
      </w:r>
      <w:r>
        <w:rPr>
          <w:rFonts w:ascii="微软雅黑" w:hAnsi="Times New Roman" w:eastAsia="微软雅黑" w:cs="微软雅黑"/>
          <w:spacing w:val="1"/>
          <w:sz w:val="24"/>
          <w:szCs w:val="24"/>
          <w:lang w:eastAsia="zh-CN"/>
        </w:rPr>
        <w:t>u</w:t>
      </w:r>
      <w:r>
        <w:rPr>
          <w:rFonts w:ascii="微软雅黑" w:hAnsi="Times New Roman" w:eastAsia="微软雅黑" w:cs="微软雅黑"/>
          <w:sz w:val="24"/>
          <w:szCs w:val="24"/>
          <w:lang w:eastAsia="zh-CN"/>
        </w:rPr>
        <w:t>m</w:t>
      </w: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 xml:space="preserve"> </w:t>
      </w:r>
      <w:r>
        <w:rPr>
          <w:rFonts w:ascii="微软雅黑" w:hAnsi="Times New Roman" w:eastAsia="微软雅黑" w:cs="微软雅黑"/>
          <w:spacing w:val="-3"/>
          <w:sz w:val="24"/>
          <w:szCs w:val="24"/>
          <w:lang w:eastAsia="zh-CN"/>
        </w:rPr>
        <w:t>D</w:t>
      </w:r>
      <w:r>
        <w:rPr>
          <w:rFonts w:ascii="微软雅黑" w:hAnsi="Times New Roman" w:eastAsia="微软雅黑" w:cs="微软雅黑"/>
          <w:sz w:val="24"/>
          <w:szCs w:val="24"/>
          <w:lang w:eastAsia="zh-CN"/>
        </w:rPr>
        <w:t xml:space="preserve">ioxide </w:t>
      </w:r>
      <w:r>
        <w:rPr>
          <w:rFonts w:hint="eastAsia" w:ascii="微软雅黑" w:hAnsi="Times New Roman" w:eastAsia="微软雅黑" w:cs="微软雅黑"/>
          <w:sz w:val="24"/>
          <w:szCs w:val="24"/>
          <w:lang w:val="en-US" w:eastAsia="zh-CN"/>
        </w:rPr>
        <w:t>NT</w:t>
      </w: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>R-</w:t>
      </w:r>
      <w:r>
        <w:rPr>
          <w:rFonts w:hint="eastAsia" w:ascii="微软雅黑" w:hAnsi="Times New Roman" w:eastAsia="微软雅黑" w:cs="微软雅黑"/>
          <w:sz w:val="24"/>
          <w:szCs w:val="24"/>
          <w:lang w:val="en-US" w:eastAsia="zh-CN"/>
        </w:rPr>
        <w:t>868</w:t>
      </w:r>
    </w:p>
    <w:p>
      <w:pPr>
        <w:kinsoku w:val="0"/>
        <w:overflowPunct w:val="0"/>
        <w:autoSpaceDE w:val="0"/>
        <w:autoSpaceDN w:val="0"/>
        <w:adjustRightInd w:val="0"/>
        <w:ind w:left="100"/>
        <w:outlineLvl w:val="0"/>
        <w:rPr>
          <w:rFonts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>推荐适用范围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 xml:space="preserve"> </w:t>
      </w:r>
    </w:p>
    <w:p>
      <w:pPr>
        <w:kinsoku w:val="0"/>
        <w:overflowPunct w:val="0"/>
        <w:autoSpaceDE w:val="0"/>
        <w:autoSpaceDN w:val="0"/>
        <w:adjustRightInd w:val="0"/>
        <w:ind w:left="100"/>
        <w:outlineLvl w:val="0"/>
        <w:rPr>
          <w:rFonts w:ascii="微软雅黑" w:hAnsi="Times New Roman" w:eastAsia="微软雅黑" w:cs="微软雅黑"/>
          <w:sz w:val="24"/>
          <w:szCs w:val="24"/>
          <w:lang w:eastAsia="zh-CN"/>
        </w:rPr>
      </w:pPr>
      <w:r>
        <w:rPr>
          <w:rFonts w:hint="eastAsia" w:hAnsi="Times New Roman" w:eastAsia="微软雅黑" w:cs="微软雅黑" w:asciiTheme="majorHAnsi"/>
          <w:sz w:val="24"/>
          <w:szCs w:val="24"/>
          <w:lang w:eastAsia="zh-CN"/>
        </w:rPr>
        <w:t>Application scope recommended</w:t>
      </w:r>
    </w:p>
    <w:p>
      <w:pPr>
        <w:kinsoku w:val="0"/>
        <w:overflowPunct w:val="0"/>
        <w:autoSpaceDE w:val="0"/>
        <w:autoSpaceDN w:val="0"/>
        <w:adjustRightInd w:val="0"/>
        <w:spacing w:before="36" w:line="182" w:lineRule="auto"/>
        <w:ind w:right="109" w:firstLine="180" w:firstLineChars="100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建筑涂料；工业涂料；油墨；塑料等中高端的涂层或者着色领域。</w:t>
      </w:r>
    </w:p>
    <w:p>
      <w:pPr>
        <w:kinsoku w:val="0"/>
        <w:overflowPunct w:val="0"/>
        <w:autoSpaceDE w:val="0"/>
        <w:autoSpaceDN w:val="0"/>
        <w:adjustRightInd w:val="0"/>
        <w:spacing w:before="36" w:line="182" w:lineRule="auto"/>
        <w:ind w:right="109" w:firstLine="180" w:firstLineChars="100"/>
        <w:rPr>
          <w:rFonts w:hAnsi="Times New Roman" w:eastAsia="微软雅黑" w:cs="微软雅黑"/>
          <w:sz w:val="18"/>
          <w:szCs w:val="18"/>
          <w:lang w:eastAsia="zh-CN"/>
        </w:rPr>
      </w:pPr>
      <w:r>
        <w:rPr>
          <w:rFonts w:hAnsi="Times New Roman" w:eastAsia="微软雅黑" w:cs="微软雅黑"/>
          <w:sz w:val="18"/>
          <w:szCs w:val="18"/>
          <w:lang w:eastAsia="zh-CN"/>
        </w:rPr>
        <w:t>Bui</w:t>
      </w:r>
      <w:r>
        <w:rPr>
          <w:rFonts w:hAnsi="Times New Roman" w:eastAsia="微软雅黑" w:cs="微软雅黑"/>
          <w:spacing w:val="-1"/>
          <w:sz w:val="18"/>
          <w:szCs w:val="18"/>
          <w:lang w:eastAsia="zh-CN"/>
        </w:rPr>
        <w:t>l</w:t>
      </w:r>
      <w:r>
        <w:rPr>
          <w:rFonts w:hAnsi="Times New Roman" w:eastAsia="微软雅黑" w:cs="微软雅黑"/>
          <w:spacing w:val="-3"/>
          <w:sz w:val="18"/>
          <w:szCs w:val="18"/>
          <w:lang w:eastAsia="zh-CN"/>
        </w:rPr>
        <w:t>d</w:t>
      </w:r>
      <w:r>
        <w:rPr>
          <w:rFonts w:hAnsi="Times New Roman" w:eastAsia="微软雅黑" w:cs="微软雅黑"/>
          <w:sz w:val="18"/>
          <w:szCs w:val="18"/>
          <w:lang w:eastAsia="zh-CN"/>
        </w:rPr>
        <w:t>ing</w:t>
      </w:r>
      <w:r>
        <w:rPr>
          <w:rFonts w:hint="eastAsia" w:hAnsi="Times New Roman" w:eastAsia="微软雅黑" w:cs="微软雅黑"/>
          <w:sz w:val="18"/>
          <w:szCs w:val="18"/>
          <w:lang w:eastAsia="zh-CN"/>
        </w:rPr>
        <w:t xml:space="preserve"> </w:t>
      </w:r>
      <w:r>
        <w:rPr>
          <w:rFonts w:hAnsi="Times New Roman" w:eastAsia="微软雅黑" w:cs="微软雅黑"/>
          <w:sz w:val="18"/>
          <w:szCs w:val="18"/>
          <w:lang w:eastAsia="zh-CN"/>
        </w:rPr>
        <w:t>Co</w:t>
      </w:r>
      <w:r>
        <w:rPr>
          <w:rFonts w:hAnsi="Times New Roman" w:eastAsia="微软雅黑" w:cs="微软雅黑"/>
          <w:spacing w:val="-1"/>
          <w:sz w:val="18"/>
          <w:szCs w:val="18"/>
          <w:lang w:eastAsia="zh-CN"/>
        </w:rPr>
        <w:t>a</w:t>
      </w:r>
      <w:r>
        <w:rPr>
          <w:rFonts w:hAnsi="Times New Roman" w:eastAsia="微软雅黑" w:cs="微软雅黑"/>
          <w:spacing w:val="-3"/>
          <w:sz w:val="18"/>
          <w:szCs w:val="18"/>
          <w:lang w:eastAsia="zh-CN"/>
        </w:rPr>
        <w:t>t</w:t>
      </w:r>
      <w:r>
        <w:rPr>
          <w:rFonts w:hAnsi="Times New Roman" w:eastAsia="微软雅黑" w:cs="微软雅黑"/>
          <w:sz w:val="18"/>
          <w:szCs w:val="18"/>
          <w:lang w:eastAsia="zh-CN"/>
        </w:rPr>
        <w:t>ing;</w:t>
      </w:r>
      <w:r>
        <w:rPr>
          <w:rFonts w:hint="eastAsia" w:hAnsi="Times New Roman" w:eastAsia="微软雅黑" w:cs="微软雅黑"/>
          <w:sz w:val="18"/>
          <w:szCs w:val="18"/>
          <w:lang w:eastAsia="zh-CN"/>
        </w:rPr>
        <w:t xml:space="preserve"> </w:t>
      </w:r>
      <w:r>
        <w:rPr>
          <w:rFonts w:hAnsi="Times New Roman" w:eastAsia="微软雅黑" w:cs="微软雅黑"/>
          <w:sz w:val="18"/>
          <w:szCs w:val="18"/>
          <w:lang w:eastAsia="zh-CN"/>
        </w:rPr>
        <w:t>i</w:t>
      </w:r>
      <w:r>
        <w:rPr>
          <w:rFonts w:hAnsi="Times New Roman" w:eastAsia="微软雅黑" w:cs="微软雅黑"/>
          <w:spacing w:val="-2"/>
          <w:sz w:val="18"/>
          <w:szCs w:val="18"/>
          <w:lang w:eastAsia="zh-CN"/>
        </w:rPr>
        <w:t>n</w:t>
      </w:r>
      <w:r>
        <w:rPr>
          <w:rFonts w:hAnsi="Times New Roman" w:eastAsia="微软雅黑" w:cs="微软雅黑"/>
          <w:spacing w:val="-6"/>
          <w:sz w:val="18"/>
          <w:szCs w:val="18"/>
          <w:lang w:eastAsia="zh-CN"/>
        </w:rPr>
        <w:t>d</w:t>
      </w:r>
      <w:r>
        <w:rPr>
          <w:rFonts w:hAnsi="Times New Roman" w:eastAsia="微软雅黑" w:cs="微软雅黑"/>
          <w:sz w:val="18"/>
          <w:szCs w:val="18"/>
          <w:lang w:eastAsia="zh-CN"/>
        </w:rPr>
        <w:t>u</w:t>
      </w:r>
      <w:r>
        <w:rPr>
          <w:rFonts w:hAnsi="Times New Roman" w:eastAsia="微软雅黑" w:cs="微软雅黑"/>
          <w:spacing w:val="-1"/>
          <w:sz w:val="18"/>
          <w:szCs w:val="18"/>
          <w:lang w:eastAsia="zh-CN"/>
        </w:rPr>
        <w:t>s</w:t>
      </w:r>
      <w:r>
        <w:rPr>
          <w:rFonts w:hAnsi="Times New Roman" w:eastAsia="微软雅黑" w:cs="微软雅黑"/>
          <w:spacing w:val="-3"/>
          <w:sz w:val="18"/>
          <w:szCs w:val="18"/>
          <w:lang w:eastAsia="zh-CN"/>
        </w:rPr>
        <w:t>t</w:t>
      </w:r>
      <w:r>
        <w:rPr>
          <w:rFonts w:hAnsi="Times New Roman" w:eastAsia="微软雅黑" w:cs="微软雅黑"/>
          <w:sz w:val="18"/>
          <w:szCs w:val="18"/>
          <w:lang w:eastAsia="zh-CN"/>
        </w:rPr>
        <w:t>rial</w:t>
      </w:r>
      <w:r>
        <w:rPr>
          <w:rFonts w:hint="eastAsia" w:hAnsi="Times New Roman" w:eastAsia="微软雅黑" w:cs="微软雅黑"/>
          <w:sz w:val="18"/>
          <w:szCs w:val="18"/>
          <w:lang w:eastAsia="zh-CN"/>
        </w:rPr>
        <w:t xml:space="preserve"> </w:t>
      </w:r>
      <w:r>
        <w:rPr>
          <w:rFonts w:hAnsi="Times New Roman" w:eastAsia="微软雅黑" w:cs="微软雅黑"/>
          <w:sz w:val="18"/>
          <w:szCs w:val="18"/>
          <w:lang w:eastAsia="zh-CN"/>
        </w:rPr>
        <w:t>pain</w:t>
      </w:r>
      <w:r>
        <w:rPr>
          <w:rFonts w:hAnsi="Times New Roman" w:eastAsia="微软雅黑" w:cs="微软雅黑"/>
          <w:spacing w:val="-1"/>
          <w:sz w:val="18"/>
          <w:szCs w:val="18"/>
          <w:lang w:eastAsia="zh-CN"/>
        </w:rPr>
        <w:t>t</w:t>
      </w:r>
      <w:r>
        <w:rPr>
          <w:rFonts w:hAnsi="Times New Roman" w:eastAsia="微软雅黑" w:cs="微软雅黑"/>
          <w:sz w:val="18"/>
          <w:szCs w:val="18"/>
          <w:lang w:eastAsia="zh-CN"/>
        </w:rPr>
        <w:t>;</w:t>
      </w:r>
      <w:r>
        <w:rPr>
          <w:rFonts w:hint="eastAsia" w:hAnsi="Times New Roman" w:eastAsia="微软雅黑" w:cs="微软雅黑"/>
          <w:sz w:val="18"/>
          <w:szCs w:val="18"/>
          <w:lang w:eastAsia="zh-CN"/>
        </w:rPr>
        <w:t xml:space="preserve"> </w:t>
      </w:r>
      <w:r>
        <w:rPr>
          <w:rFonts w:hAnsi="Times New Roman" w:eastAsia="微软雅黑" w:cs="微软雅黑"/>
          <w:sz w:val="18"/>
          <w:szCs w:val="18"/>
          <w:lang w:eastAsia="zh-CN"/>
        </w:rPr>
        <w:t>p</w:t>
      </w:r>
      <w:r>
        <w:rPr>
          <w:rFonts w:hAnsi="Times New Roman" w:eastAsia="微软雅黑" w:cs="微软雅黑"/>
          <w:spacing w:val="-7"/>
          <w:sz w:val="18"/>
          <w:szCs w:val="18"/>
          <w:lang w:eastAsia="zh-CN"/>
        </w:rPr>
        <w:t>r</w:t>
      </w:r>
      <w:r>
        <w:rPr>
          <w:rFonts w:hAnsi="Times New Roman" w:eastAsia="微软雅黑" w:cs="微软雅黑"/>
          <w:sz w:val="18"/>
          <w:szCs w:val="18"/>
          <w:lang w:eastAsia="zh-CN"/>
        </w:rPr>
        <w:t>in</w:t>
      </w:r>
      <w:r>
        <w:rPr>
          <w:rFonts w:hAnsi="Times New Roman" w:eastAsia="微软雅黑" w:cs="微软雅黑"/>
          <w:spacing w:val="-5"/>
          <w:sz w:val="18"/>
          <w:szCs w:val="18"/>
          <w:lang w:eastAsia="zh-CN"/>
        </w:rPr>
        <w:t>t</w:t>
      </w:r>
      <w:r>
        <w:rPr>
          <w:rFonts w:hAnsi="Times New Roman" w:eastAsia="微软雅黑" w:cs="微软雅黑"/>
          <w:spacing w:val="-2"/>
          <w:sz w:val="18"/>
          <w:szCs w:val="18"/>
          <w:lang w:eastAsia="zh-CN"/>
        </w:rPr>
        <w:t>i</w:t>
      </w:r>
      <w:r>
        <w:rPr>
          <w:rFonts w:hAnsi="Times New Roman" w:eastAsia="微软雅黑" w:cs="微软雅黑"/>
          <w:sz w:val="18"/>
          <w:szCs w:val="18"/>
          <w:lang w:eastAsia="zh-CN"/>
        </w:rPr>
        <w:t>ng</w:t>
      </w:r>
      <w:r>
        <w:rPr>
          <w:rFonts w:hint="eastAsia" w:hAnsi="Times New Roman" w:eastAsia="微软雅黑" w:cs="微软雅黑"/>
          <w:sz w:val="18"/>
          <w:szCs w:val="18"/>
          <w:lang w:eastAsia="zh-CN"/>
        </w:rPr>
        <w:t xml:space="preserve"> </w:t>
      </w:r>
      <w:r>
        <w:rPr>
          <w:rFonts w:hAnsi="Times New Roman" w:eastAsia="微软雅黑" w:cs="微软雅黑"/>
          <w:spacing w:val="-4"/>
          <w:sz w:val="18"/>
          <w:szCs w:val="18"/>
          <w:lang w:eastAsia="zh-CN"/>
        </w:rPr>
        <w:t>i</w:t>
      </w:r>
      <w:r>
        <w:rPr>
          <w:rFonts w:hAnsi="Times New Roman" w:eastAsia="微软雅黑" w:cs="微软雅黑"/>
          <w:sz w:val="18"/>
          <w:szCs w:val="18"/>
          <w:lang w:eastAsia="zh-CN"/>
        </w:rPr>
        <w:t>n</w:t>
      </w:r>
      <w:r>
        <w:rPr>
          <w:rFonts w:hAnsi="Times New Roman" w:eastAsia="微软雅黑" w:cs="微软雅黑"/>
          <w:spacing w:val="-4"/>
          <w:sz w:val="18"/>
          <w:szCs w:val="18"/>
          <w:lang w:eastAsia="zh-CN"/>
        </w:rPr>
        <w:t>k</w:t>
      </w:r>
      <w:r>
        <w:rPr>
          <w:rFonts w:hAnsi="Times New Roman" w:eastAsia="微软雅黑" w:cs="微软雅黑"/>
          <w:sz w:val="18"/>
          <w:szCs w:val="18"/>
          <w:lang w:eastAsia="zh-CN"/>
        </w:rPr>
        <w:t>;</w:t>
      </w:r>
      <w:r>
        <w:rPr>
          <w:rFonts w:hint="eastAsia" w:hAnsi="Times New Roman" w:eastAsia="微软雅黑" w:cs="微软雅黑"/>
          <w:sz w:val="18"/>
          <w:szCs w:val="18"/>
          <w:lang w:eastAsia="zh-CN"/>
        </w:rPr>
        <w:t xml:space="preserve"> </w:t>
      </w:r>
      <w:r>
        <w:rPr>
          <w:rFonts w:hAnsi="Times New Roman" w:eastAsia="微软雅黑" w:cs="微软雅黑"/>
          <w:sz w:val="18"/>
          <w:szCs w:val="18"/>
          <w:lang w:eastAsia="zh-CN"/>
        </w:rPr>
        <w:t>pl</w:t>
      </w:r>
      <w:r>
        <w:rPr>
          <w:rFonts w:hAnsi="Times New Roman" w:eastAsia="微软雅黑" w:cs="微软雅黑"/>
          <w:spacing w:val="-1"/>
          <w:sz w:val="18"/>
          <w:szCs w:val="18"/>
          <w:lang w:eastAsia="zh-CN"/>
        </w:rPr>
        <w:t>a</w:t>
      </w:r>
      <w:r>
        <w:rPr>
          <w:rFonts w:hAnsi="Times New Roman" w:eastAsia="微软雅黑" w:cs="微软雅黑"/>
          <w:spacing w:val="-5"/>
          <w:sz w:val="18"/>
          <w:szCs w:val="18"/>
          <w:lang w:eastAsia="zh-CN"/>
        </w:rPr>
        <w:t>s</w:t>
      </w:r>
      <w:r>
        <w:rPr>
          <w:rFonts w:hAnsi="Times New Roman" w:eastAsia="微软雅黑" w:cs="微软雅黑"/>
          <w:sz w:val="18"/>
          <w:szCs w:val="18"/>
          <w:lang w:eastAsia="zh-CN"/>
        </w:rPr>
        <w:t>tics;</w:t>
      </w:r>
      <w:r>
        <w:rPr>
          <w:rFonts w:hint="eastAsia" w:hAnsi="Times New Roman" w:eastAsia="微软雅黑" w:cs="微软雅黑"/>
          <w:sz w:val="18"/>
          <w:szCs w:val="18"/>
          <w:lang w:eastAsia="zh-CN"/>
        </w:rPr>
        <w:t xml:space="preserve"> and coloring middle and upper market.</w:t>
      </w:r>
    </w:p>
    <w:p>
      <w:pPr>
        <w:kinsoku w:val="0"/>
        <w:overflowPunct w:val="0"/>
        <w:autoSpaceDE w:val="0"/>
        <w:autoSpaceDN w:val="0"/>
        <w:adjustRightInd w:val="0"/>
        <w:ind w:left="100"/>
        <w:outlineLvl w:val="0"/>
        <w:rPr>
          <w:rFonts w:ascii="微软雅黑" w:hAnsi="Times New Roman" w:eastAsia="微软雅黑" w:cs="微软雅黑"/>
          <w:sz w:val="24"/>
          <w:szCs w:val="24"/>
          <w:lang w:eastAsia="zh-CN"/>
        </w:rPr>
      </w:pP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>产品基本特性</w:t>
      </w:r>
    </w:p>
    <w:p>
      <w:pPr>
        <w:kinsoku w:val="0"/>
        <w:overflowPunct w:val="0"/>
        <w:autoSpaceDE w:val="0"/>
        <w:autoSpaceDN w:val="0"/>
        <w:adjustRightInd w:val="0"/>
        <w:ind w:left="100"/>
        <w:outlineLvl w:val="0"/>
        <w:rPr>
          <w:rFonts w:ascii="微软雅黑" w:hAnsi="Times New Roman" w:eastAsia="微软雅黑" w:cs="微软雅黑"/>
          <w:sz w:val="24"/>
          <w:szCs w:val="24"/>
          <w:lang w:eastAsia="zh-CN"/>
        </w:rPr>
      </w:pP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>Basic Features</w:t>
      </w:r>
    </w:p>
    <w:p>
      <w:pPr>
        <w:tabs>
          <w:tab w:val="left" w:pos="880"/>
        </w:tabs>
        <w:kinsoku w:val="0"/>
        <w:overflowPunct w:val="0"/>
        <w:autoSpaceDE w:val="0"/>
        <w:autoSpaceDN w:val="0"/>
        <w:adjustRightInd w:val="0"/>
        <w:spacing w:before="36" w:line="182" w:lineRule="auto"/>
        <w:ind w:left="782" w:leftChars="129" w:right="109" w:hanging="498" w:hangingChars="297"/>
        <w:rPr>
          <w:rFonts w:hAnsi="Times New Roman" w:eastAsia="微软雅黑" w:cs="微软雅黑"/>
          <w:spacing w:val="-6"/>
          <w:sz w:val="21"/>
          <w:szCs w:val="21"/>
          <w:vertAlign w:val="subscript"/>
          <w:lang w:eastAsia="zh-CN"/>
        </w:rPr>
      </w:pP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>标准分类</w:t>
      </w:r>
      <w:r>
        <w:rPr>
          <w:rFonts w:hint="eastAsia" w:hAnsi="Times New Roman" w:eastAsia="微软雅黑" w:cs="微软雅黑"/>
          <w:spacing w:val="-6"/>
          <w:sz w:val="21"/>
          <w:szCs w:val="21"/>
          <w:lang w:eastAsia="zh-CN"/>
        </w:rPr>
        <w:t>（ISO591-1）</w:t>
      </w: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>Standard Classification(ISO591-1)</w:t>
      </w:r>
      <w:r>
        <w:rPr>
          <w:rFonts w:hint="eastAsia" w:hAnsi="Times New Roman" w:eastAsia="微软雅黑" w:cs="微软雅黑"/>
          <w:spacing w:val="-6"/>
          <w:sz w:val="21"/>
          <w:szCs w:val="21"/>
          <w:lang w:eastAsia="zh-CN"/>
        </w:rPr>
        <w:t>┈┈┈┈┈┈┈┈┈┈┈┈┈┈┈┈┈┈┈┈┈┈┈┈┈┈┈┈┈┈┈┈┈┈┈┈┈┈┈┈┈┈┈┈┈┈┈R</w:t>
      </w: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>2</w:t>
      </w:r>
    </w:p>
    <w:p>
      <w:pPr>
        <w:tabs>
          <w:tab w:val="left" w:pos="880"/>
        </w:tabs>
        <w:kinsoku w:val="0"/>
        <w:overflowPunct w:val="0"/>
        <w:autoSpaceDE w:val="0"/>
        <w:autoSpaceDN w:val="0"/>
        <w:adjustRightInd w:val="0"/>
        <w:spacing w:before="36" w:line="182" w:lineRule="auto"/>
        <w:ind w:left="782" w:leftChars="129" w:right="109" w:hanging="498" w:hangingChars="297"/>
        <w:rPr>
          <w:rFonts w:hAnsi="Times New Roman" w:eastAsia="微软雅黑" w:cs="微软雅黑"/>
          <w:spacing w:val="-6"/>
          <w:sz w:val="18"/>
          <w:szCs w:val="18"/>
          <w:lang w:eastAsia="zh-CN"/>
        </w:rPr>
      </w:pP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>表面处理</w:t>
      </w:r>
      <w:r>
        <w:rPr>
          <w:rFonts w:hint="eastAsia" w:hAnsi="Times New Roman" w:eastAsia="微软雅黑" w:cs="微软雅黑"/>
          <w:spacing w:val="-6"/>
          <w:sz w:val="21"/>
          <w:szCs w:val="21"/>
          <w:lang w:eastAsia="zh-CN"/>
        </w:rPr>
        <w:t xml:space="preserve"> </w:t>
      </w: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>Surface preparation</w:t>
      </w:r>
      <w:r>
        <w:rPr>
          <w:rFonts w:hint="eastAsia" w:hAnsi="Times New Roman" w:eastAsia="微软雅黑" w:cs="微软雅黑"/>
          <w:spacing w:val="-6"/>
          <w:sz w:val="21"/>
          <w:szCs w:val="21"/>
          <w:lang w:eastAsia="zh-CN"/>
        </w:rPr>
        <w:t>┈┈┈┈┈┈┈┈┈┈┈┈┈┈┈┈┈┈┈┈┈┈┈┈┈┈┈┈┈┈┈┈┈┈┈┈┈┈┈</w:t>
      </w: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>氧化铝、氧化锆和特殊的有机物包覆处理</w:t>
      </w:r>
    </w:p>
    <w:p>
      <w:pPr>
        <w:tabs>
          <w:tab w:val="left" w:pos="880"/>
        </w:tabs>
        <w:kinsoku w:val="0"/>
        <w:overflowPunct w:val="0"/>
        <w:autoSpaceDE w:val="0"/>
        <w:autoSpaceDN w:val="0"/>
        <w:adjustRightInd w:val="0"/>
        <w:spacing w:before="36" w:line="182" w:lineRule="auto"/>
        <w:ind w:left="872" w:leftChars="129" w:right="109" w:hanging="588" w:hangingChars="297"/>
        <w:jc w:val="right"/>
        <w:rPr>
          <w:rFonts w:hAnsi="Times New Roman" w:eastAsia="微软雅黑" w:cs="微软雅黑"/>
          <w:spacing w:val="-6"/>
          <w:sz w:val="18"/>
          <w:szCs w:val="18"/>
          <w:lang w:eastAsia="zh-CN"/>
        </w:rPr>
      </w:pPr>
      <w:r>
        <w:rPr>
          <w:rFonts w:hint="eastAsia" w:hAnsi="Times New Roman" w:eastAsia="微软雅黑" w:cs="微软雅黑"/>
          <w:spacing w:val="-6"/>
          <w:sz w:val="21"/>
          <w:szCs w:val="21"/>
          <w:lang w:eastAsia="zh-CN"/>
        </w:rPr>
        <w:t xml:space="preserve">                                                                            </w:t>
      </w: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 xml:space="preserve">  Alumina,</w:t>
      </w:r>
      <w:r>
        <w:rPr>
          <w:rFonts w:hAnsi="Times New Roman" w:eastAsia="微软雅黑" w:cs="微软雅黑"/>
          <w:spacing w:val="-6"/>
          <w:sz w:val="18"/>
          <w:szCs w:val="18"/>
          <w:lang w:eastAsia="zh-CN"/>
        </w:rPr>
        <w:t xml:space="preserve"> </w:t>
      </w: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>Zirconia and special organic substance coating</w:t>
      </w:r>
    </w:p>
    <w:p>
      <w:pPr>
        <w:tabs>
          <w:tab w:val="left" w:pos="880"/>
        </w:tabs>
        <w:kinsoku w:val="0"/>
        <w:overflowPunct w:val="0"/>
        <w:autoSpaceDE w:val="0"/>
        <w:autoSpaceDN w:val="0"/>
        <w:adjustRightInd w:val="0"/>
        <w:spacing w:before="36" w:line="182" w:lineRule="auto"/>
        <w:ind w:left="782" w:leftChars="129" w:right="109" w:hanging="498" w:hangingChars="297"/>
        <w:jc w:val="both"/>
        <w:rPr>
          <w:rFonts w:hAnsi="Times New Roman" w:eastAsia="微软雅黑" w:cs="微软雅黑"/>
          <w:spacing w:val="-6"/>
          <w:sz w:val="21"/>
          <w:szCs w:val="21"/>
          <w:lang w:eastAsia="zh-CN"/>
        </w:rPr>
      </w:pP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>TiO2含量</w:t>
      </w:r>
      <w:r>
        <w:rPr>
          <w:rFonts w:hint="eastAsia" w:hAnsi="Times New Roman" w:eastAsia="微软雅黑" w:cs="微软雅黑"/>
          <w:spacing w:val="-6"/>
          <w:sz w:val="21"/>
          <w:szCs w:val="21"/>
          <w:lang w:eastAsia="zh-CN"/>
        </w:rPr>
        <w:t xml:space="preserve"> TiO</w:t>
      </w:r>
      <w:r>
        <w:rPr>
          <w:rFonts w:hint="eastAsia" w:hAnsi="Times New Roman" w:eastAsia="微软雅黑" w:cs="微软雅黑"/>
          <w:spacing w:val="-6"/>
          <w:sz w:val="21"/>
          <w:szCs w:val="21"/>
          <w:vertAlign w:val="subscript"/>
          <w:lang w:eastAsia="zh-CN"/>
        </w:rPr>
        <w:t xml:space="preserve">2 </w:t>
      </w:r>
      <w:r>
        <w:rPr>
          <w:rFonts w:hint="eastAsia" w:hAnsi="Times New Roman" w:eastAsia="微软雅黑" w:cs="微软雅黑"/>
          <w:spacing w:val="-6"/>
          <w:sz w:val="21"/>
          <w:szCs w:val="21"/>
          <w:lang w:eastAsia="zh-CN"/>
        </w:rPr>
        <w:t>content┈┈┈┈┈┈┈┈┈┈┈┈┈┈┈┈┈┈┈┈┈┈┈┈┈┈┈┈┈┈┈┈┈┈┈┈┈┈┈┈┈┈┈┈┈┈┈┈┈┈┈┈┈┈┈┈┈┈┈┈┈┈┈┈≥9</w:t>
      </w:r>
      <w:r>
        <w:rPr>
          <w:rFonts w:hint="eastAsia" w:hAnsi="Times New Roman" w:eastAsia="微软雅黑" w:cs="微软雅黑"/>
          <w:spacing w:val="-6"/>
          <w:sz w:val="21"/>
          <w:szCs w:val="21"/>
          <w:lang w:val="en-US" w:eastAsia="zh-CN"/>
        </w:rPr>
        <w:t>4</w:t>
      </w:r>
      <w:r>
        <w:rPr>
          <w:rFonts w:hint="eastAsia" w:hAnsi="Times New Roman" w:eastAsia="微软雅黑" w:cs="微软雅黑"/>
          <w:spacing w:val="-6"/>
          <w:sz w:val="21"/>
          <w:szCs w:val="21"/>
          <w:lang w:eastAsia="zh-CN"/>
        </w:rPr>
        <w:t>%</w:t>
      </w:r>
    </w:p>
    <w:p>
      <w:pPr>
        <w:tabs>
          <w:tab w:val="left" w:pos="880"/>
        </w:tabs>
        <w:kinsoku w:val="0"/>
        <w:overflowPunct w:val="0"/>
        <w:autoSpaceDE w:val="0"/>
        <w:autoSpaceDN w:val="0"/>
        <w:adjustRightInd w:val="0"/>
        <w:spacing w:before="36" w:line="182" w:lineRule="auto"/>
        <w:ind w:left="782" w:leftChars="129" w:right="109" w:hanging="498" w:hangingChars="297"/>
        <w:rPr>
          <w:rFonts w:hAnsi="Times New Roman" w:eastAsia="微软雅黑" w:cs="微软雅黑"/>
          <w:spacing w:val="-6"/>
          <w:sz w:val="21"/>
          <w:szCs w:val="21"/>
          <w:lang w:eastAsia="zh-CN"/>
        </w:rPr>
      </w:pP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>金红石型含量（转换率）Rutile Content(conversion rate)</w:t>
      </w:r>
      <w:r>
        <w:rPr>
          <w:rFonts w:hint="eastAsia" w:hAnsi="Times New Roman" w:eastAsia="微软雅黑" w:cs="微软雅黑"/>
          <w:spacing w:val="-6"/>
          <w:sz w:val="21"/>
          <w:szCs w:val="21"/>
          <w:lang w:eastAsia="zh-CN"/>
        </w:rPr>
        <w:t>┈┈┈┈┈┈┈┈┈┈┈┈┈┈┈┈┈┈┈┈┈┈┈┈┈┈┈┈┈┈┈┈┈┈┈┈┈┈┈┈┈┈┈ ≥ 98.0%</w:t>
      </w:r>
    </w:p>
    <w:p>
      <w:pPr>
        <w:tabs>
          <w:tab w:val="left" w:pos="880"/>
        </w:tabs>
        <w:kinsoku w:val="0"/>
        <w:overflowPunct w:val="0"/>
        <w:autoSpaceDE w:val="0"/>
        <w:autoSpaceDN w:val="0"/>
        <w:adjustRightInd w:val="0"/>
        <w:spacing w:before="36" w:line="182" w:lineRule="auto"/>
        <w:ind w:left="782" w:leftChars="129" w:right="109" w:hanging="498" w:hangingChars="297"/>
        <w:rPr>
          <w:rFonts w:hAnsi="Times New Roman" w:eastAsia="微软雅黑" w:cs="微软雅黑"/>
          <w:spacing w:val="-6"/>
          <w:sz w:val="18"/>
          <w:szCs w:val="18"/>
          <w:lang w:eastAsia="zh-CN"/>
        </w:rPr>
      </w:pP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>密度Density</w:t>
      </w:r>
      <w:r>
        <w:rPr>
          <w:rFonts w:hint="eastAsia" w:hAnsi="Times New Roman" w:eastAsia="微软雅黑" w:cs="微软雅黑"/>
          <w:spacing w:val="-6"/>
          <w:sz w:val="21"/>
          <w:szCs w:val="21"/>
          <w:lang w:eastAsia="zh-CN"/>
        </w:rPr>
        <w:t>┈┈┈┈┈┈┈┈┈┈┈┈┈┈┈┈┈┈┈┈┈┈┈┈┈┈┈┈┈┈┈┈┈┈┈┈┈┈┈┈┈┈┈┈┈┈┈┈┈┈┈┈┈┈┈┈┈┈┈┈┈┈┈┈┈┈┈┈</w:t>
      </w: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>4.1-4.3g/cm</w:t>
      </w:r>
      <w:r>
        <w:rPr>
          <w:rFonts w:hint="eastAsia" w:hAnsi="Times New Roman" w:eastAsia="微软雅黑" w:cs="微软雅黑"/>
          <w:spacing w:val="-6"/>
          <w:sz w:val="21"/>
          <w:szCs w:val="21"/>
          <w:vertAlign w:val="superscript"/>
          <w:lang w:eastAsia="zh-CN"/>
        </w:rPr>
        <w:t xml:space="preserve">3 </w:t>
      </w:r>
    </w:p>
    <w:p>
      <w:pPr>
        <w:tabs>
          <w:tab w:val="left" w:pos="880"/>
        </w:tabs>
        <w:kinsoku w:val="0"/>
        <w:overflowPunct w:val="0"/>
        <w:autoSpaceDE w:val="0"/>
        <w:autoSpaceDN w:val="0"/>
        <w:adjustRightInd w:val="0"/>
        <w:spacing w:before="36" w:line="182" w:lineRule="auto"/>
        <w:ind w:left="782" w:leftChars="129" w:right="109" w:hanging="498" w:hangingChars="297"/>
        <w:rPr>
          <w:rFonts w:ascii="Times New Roman" w:hAnsi="Times New Roman" w:eastAsia="宋体" w:cs="Times New Roman"/>
          <w:sz w:val="20"/>
          <w:szCs w:val="20"/>
          <w:lang w:eastAsia="zh-CN"/>
        </w:rPr>
      </w:pP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>堆积密度</w:t>
      </w:r>
      <w:r>
        <w:rPr>
          <w:rFonts w:hint="eastAsia" w:hAnsi="Times New Roman" w:eastAsia="微软雅黑" w:cs="微软雅黑"/>
          <w:spacing w:val="-6"/>
          <w:sz w:val="21"/>
          <w:szCs w:val="21"/>
          <w:lang w:eastAsia="zh-CN"/>
        </w:rPr>
        <w:t xml:space="preserve"> </w:t>
      </w: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>Bulk density</w:t>
      </w:r>
      <w:r>
        <w:rPr>
          <w:rFonts w:hint="eastAsia" w:hAnsi="Times New Roman" w:eastAsia="微软雅黑" w:cs="微软雅黑"/>
          <w:spacing w:val="-6"/>
          <w:sz w:val="21"/>
          <w:szCs w:val="21"/>
          <w:lang w:eastAsia="zh-CN"/>
        </w:rPr>
        <w:t>┈┈┈┈┈┈┈┈┈┈┈┈┈┈┈┈┈┈┈┈┈┈┈┈┈┈┈┈┈┈┈┈┈┈┈┈┈┈┈┈┈┈┈┈┈┈┈┈┈┈┈┈┈┈┈┈┈┈┈┈┈┈</w:t>
      </w:r>
      <w:r>
        <w:rPr>
          <w:rFonts w:hint="eastAsia" w:hAnsi="Times New Roman" w:eastAsia="微软雅黑" w:cs="微软雅黑"/>
          <w:spacing w:val="-6"/>
          <w:sz w:val="18"/>
          <w:szCs w:val="18"/>
          <w:lang w:eastAsia="zh-CN"/>
        </w:rPr>
        <w:t>0.7-0.9g/cm</w:t>
      </w:r>
      <w:r>
        <w:rPr>
          <w:rFonts w:hint="eastAsia" w:hAnsi="Times New Roman" w:eastAsia="微软雅黑" w:cs="微软雅黑"/>
          <w:spacing w:val="-6"/>
          <w:sz w:val="21"/>
          <w:szCs w:val="21"/>
          <w:vertAlign w:val="superscript"/>
          <w:lang w:eastAsia="zh-CN"/>
        </w:rPr>
        <w:t>3</w:t>
      </w:r>
    </w:p>
    <w:p>
      <w:pPr>
        <w:kinsoku w:val="0"/>
        <w:overflowPunct w:val="0"/>
        <w:autoSpaceDE w:val="0"/>
        <w:autoSpaceDN w:val="0"/>
        <w:adjustRightInd w:val="0"/>
        <w:ind w:left="100"/>
        <w:outlineLvl w:val="0"/>
        <w:rPr>
          <w:rFonts w:ascii="微软雅黑" w:hAnsi="Times New Roman" w:eastAsia="微软雅黑" w:cs="微软雅黑"/>
          <w:sz w:val="30"/>
          <w:szCs w:val="30"/>
          <w:lang w:eastAsia="zh-CN"/>
        </w:rPr>
      </w:pP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>产品性能特点</w:t>
      </w:r>
    </w:p>
    <w:p>
      <w:pPr>
        <w:kinsoku w:val="0"/>
        <w:overflowPunct w:val="0"/>
        <w:autoSpaceDE w:val="0"/>
        <w:autoSpaceDN w:val="0"/>
        <w:adjustRightInd w:val="0"/>
        <w:ind w:left="100"/>
        <w:outlineLvl w:val="0"/>
        <w:rPr>
          <w:rFonts w:ascii="微软雅黑" w:hAnsi="Times New Roman" w:eastAsia="微软雅黑" w:cs="微软雅黑"/>
          <w:sz w:val="24"/>
          <w:szCs w:val="24"/>
          <w:lang w:eastAsia="zh-CN"/>
        </w:rPr>
      </w:pP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>Products performance and Characteristics</w:t>
      </w:r>
    </w:p>
    <w:p>
      <w:pPr>
        <w:kinsoku w:val="0"/>
        <w:overflowPunct w:val="0"/>
        <w:autoSpaceDE w:val="0"/>
        <w:autoSpaceDN w:val="0"/>
        <w:adjustRightInd w:val="0"/>
        <w:spacing w:before="36" w:line="182" w:lineRule="auto"/>
        <w:ind w:right="109" w:firstLine="180" w:firstLineChars="100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本产品为采用硫酸法工艺且选用优质的原料进行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  <w:lang w:eastAsia="zh-CN"/>
        </w:rPr>
        <w:t>组织生产的高档通用型金红石型钛白粉产品。该产品采取氧化锆、氧化铝无机</w:t>
      </w:r>
    </w:p>
    <w:p>
      <w:pPr>
        <w:kinsoku w:val="0"/>
        <w:overflowPunct w:val="0"/>
        <w:autoSpaceDE w:val="0"/>
        <w:autoSpaceDN w:val="0"/>
        <w:adjustRightInd w:val="0"/>
        <w:spacing w:before="36" w:line="182" w:lineRule="auto"/>
        <w:ind w:right="109" w:firstLine="180" w:firstLineChars="100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均相包覆工艺和对制程采用先进的技术管控，并经过特殊的有机表面处理后，其产品的性能具有极易湿润和分散且与其他树脂</w:t>
      </w:r>
    </w:p>
    <w:p>
      <w:pPr>
        <w:kinsoku w:val="0"/>
        <w:overflowPunct w:val="0"/>
        <w:autoSpaceDE w:val="0"/>
        <w:autoSpaceDN w:val="0"/>
        <w:adjustRightInd w:val="0"/>
        <w:spacing w:before="36" w:line="182" w:lineRule="auto"/>
        <w:ind w:left="178" w:leftChars="81" w:right="109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混配相容性好，色相和亮度相对稳定，并且具有较优良的黏附、耐候、遮盖、抗粉化、耐黄变等多功能性应用性能。产品在油</w:t>
      </w:r>
    </w:p>
    <w:p>
      <w:pPr>
        <w:kinsoku w:val="0"/>
        <w:overflowPunct w:val="0"/>
        <w:autoSpaceDE w:val="0"/>
        <w:autoSpaceDN w:val="0"/>
        <w:adjustRightInd w:val="0"/>
        <w:spacing w:before="36" w:line="182" w:lineRule="auto"/>
        <w:ind w:right="109" w:firstLine="180" w:firstLineChars="100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性和水性体系产品中通用。且在油性体系（涂料、油漆或油墨等）的产品中其高分散和高遮盖等应用性能尤为显著。</w:t>
      </w:r>
    </w:p>
    <w:tbl>
      <w:tblPr>
        <w:tblStyle w:val="7"/>
        <w:tblpPr w:leftFromText="180" w:rightFromText="180" w:vertAnchor="text" w:horzAnchor="page" w:tblpX="735" w:tblpY="937"/>
        <w:tblOverlap w:val="never"/>
        <w:tblW w:w="10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17"/>
        <w:gridCol w:w="2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7517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项目</w:t>
            </w:r>
            <w:r>
              <w:rPr>
                <w:rFonts w:ascii="微软雅黑" w:eastAsia="微软雅黑" w:cs="微软雅黑"/>
                <w:spacing w:val="-1"/>
                <w:sz w:val="16"/>
                <w:szCs w:val="16"/>
              </w:rPr>
              <w:t>I</w:t>
            </w:r>
            <w:r>
              <w:rPr>
                <w:rFonts w:ascii="微软雅黑" w:eastAsia="微软雅黑" w:cs="微软雅黑"/>
                <w:sz w:val="16"/>
                <w:szCs w:val="16"/>
              </w:rPr>
              <w:t>tem</w:t>
            </w:r>
          </w:p>
        </w:tc>
        <w:tc>
          <w:tcPr>
            <w:tcW w:w="2663" w:type="dxa"/>
          </w:tcPr>
          <w:p>
            <w:pPr>
              <w:pStyle w:val="13"/>
              <w:kinsoku w:val="0"/>
              <w:overflowPunct w:val="0"/>
              <w:spacing w:line="315" w:lineRule="exact"/>
              <w:jc w:val="both"/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Specification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517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TIO2含量TiO2content%</w:t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ab/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≥</w:t>
            </w:r>
          </w:p>
        </w:tc>
        <w:tc>
          <w:tcPr>
            <w:tcW w:w="2663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hint="default" w:ascii="微软雅黑" w:eastAsia="微软雅黑" w:cs="微软雅黑"/>
                <w:spacing w:val="-1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9</w:t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7517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金红石含量（转换率）Rutile Content(conversion rate)%</w:t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ab/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≥</w:t>
            </w:r>
          </w:p>
        </w:tc>
        <w:tc>
          <w:tcPr>
            <w:tcW w:w="2663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7517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105℃挥发物Volatilematterat105℃%≤</w:t>
            </w:r>
          </w:p>
        </w:tc>
        <w:tc>
          <w:tcPr>
            <w:tcW w:w="2663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7517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325目筛余物Residue on sieve325mesh %</w:t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ab/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≤</w:t>
            </w:r>
          </w:p>
        </w:tc>
        <w:tc>
          <w:tcPr>
            <w:tcW w:w="2663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exact"/>
        </w:trPr>
        <w:tc>
          <w:tcPr>
            <w:tcW w:w="7517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水悬浮物PH值Water suspension H value</w:t>
            </w:r>
          </w:p>
        </w:tc>
        <w:tc>
          <w:tcPr>
            <w:tcW w:w="2663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6.5-8.5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7517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吸油量Oil absorption</w:t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ab/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g/100g</w:t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ab/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≤</w:t>
            </w:r>
          </w:p>
        </w:tc>
        <w:tc>
          <w:tcPr>
            <w:tcW w:w="2663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7517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电阻率Resistivity</w:t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ab/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Ωcm</w:t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ab/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≥</w:t>
            </w:r>
          </w:p>
        </w:tc>
        <w:tc>
          <w:tcPr>
            <w:tcW w:w="2663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exact"/>
        </w:trPr>
        <w:tc>
          <w:tcPr>
            <w:tcW w:w="7517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亮度（白浆L值）Brightness</w:t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ab/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(white wash L value)</w:t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ab/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≥</w:t>
            </w:r>
          </w:p>
        </w:tc>
        <w:tc>
          <w:tcPr>
            <w:tcW w:w="2663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95.5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7517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分散性（黑格曼系数）Dispersibility(Hickmann number)</w:t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ab/>
            </w: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≥</w:t>
            </w:r>
          </w:p>
        </w:tc>
        <w:tc>
          <w:tcPr>
            <w:tcW w:w="2663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exact"/>
        </w:trPr>
        <w:tc>
          <w:tcPr>
            <w:tcW w:w="7517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消色力（TCS/雷诺系数）Lightening Power(TCS/Reynolds number)≥</w:t>
            </w:r>
          </w:p>
        </w:tc>
        <w:tc>
          <w:tcPr>
            <w:tcW w:w="2663" w:type="dxa"/>
          </w:tcPr>
          <w:p>
            <w:pPr>
              <w:pStyle w:val="13"/>
              <w:kinsoku w:val="0"/>
              <w:overflowPunct w:val="0"/>
              <w:spacing w:line="315" w:lineRule="exact"/>
              <w:ind w:left="230"/>
              <w:jc w:val="both"/>
              <w:rPr>
                <w:rFonts w:ascii="微软雅黑" w:eastAsia="微软雅黑" w:cs="微软雅黑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微软雅黑" w:eastAsia="微软雅黑" w:cs="微软雅黑"/>
                <w:spacing w:val="-1"/>
                <w:sz w:val="16"/>
                <w:szCs w:val="16"/>
                <w:lang w:eastAsia="zh-CN"/>
              </w:rPr>
              <w:t>1900</w:t>
            </w:r>
          </w:p>
        </w:tc>
      </w:tr>
    </w:tbl>
    <w:p>
      <w:pPr>
        <w:kinsoku w:val="0"/>
        <w:overflowPunct w:val="0"/>
        <w:autoSpaceDE w:val="0"/>
        <w:autoSpaceDN w:val="0"/>
        <w:adjustRightInd w:val="0"/>
        <w:spacing w:before="36" w:line="182" w:lineRule="auto"/>
        <w:ind w:left="178" w:leftChars="81" w:right="109"/>
        <w:rPr>
          <w:rFonts w:hAnsi="宋体" w:eastAsia="宋体" w:cs="宋体"/>
          <w:sz w:val="18"/>
          <w:szCs w:val="18"/>
          <w:lang w:eastAsia="zh-CN"/>
        </w:rPr>
      </w:pPr>
      <w:r>
        <w:rPr>
          <w:rFonts w:hint="eastAsia" w:hAnsi="宋体" w:eastAsia="宋体" w:cs="宋体"/>
          <w:sz w:val="18"/>
          <w:szCs w:val="18"/>
          <w:lang w:val="en-US" w:eastAsia="zh-CN"/>
        </w:rPr>
        <w:t>NTR-868</w:t>
      </w:r>
      <w:r>
        <w:rPr>
          <w:rFonts w:hint="eastAsia" w:hAnsi="宋体" w:eastAsia="宋体" w:cs="宋体"/>
          <w:sz w:val="18"/>
          <w:szCs w:val="18"/>
          <w:lang w:eastAsia="zh-CN"/>
        </w:rPr>
        <w:t xml:space="preserve"> is a general-purpose top grade Rutile Titanium Dioxide product</w:t>
      </w:r>
      <w:r>
        <w:rPr>
          <w:rFonts w:hAnsi="宋体" w:eastAsia="宋体" w:cs="宋体"/>
          <w:sz w:val="18"/>
          <w:szCs w:val="18"/>
          <w:lang w:eastAsia="zh-CN"/>
        </w:rPr>
        <w:t xml:space="preserve">, </w:t>
      </w:r>
      <w:r>
        <w:rPr>
          <w:rFonts w:hint="eastAsia" w:hAnsi="宋体" w:eastAsia="宋体" w:cs="宋体"/>
          <w:sz w:val="18"/>
          <w:szCs w:val="18"/>
          <w:lang w:eastAsia="zh-CN"/>
        </w:rPr>
        <w:t>which is manufactured by sulfate process</w:t>
      </w:r>
      <w:r>
        <w:rPr>
          <w:rFonts w:hAnsi="宋体" w:eastAsia="宋体" w:cs="宋体"/>
          <w:sz w:val="18"/>
          <w:szCs w:val="18"/>
          <w:lang w:eastAsia="zh-CN"/>
        </w:rPr>
        <w:t xml:space="preserve">. </w:t>
      </w:r>
      <w:r>
        <w:rPr>
          <w:rFonts w:hint="eastAsia" w:hAnsi="宋体" w:eastAsia="宋体" w:cs="宋体"/>
          <w:sz w:val="18"/>
          <w:szCs w:val="18"/>
          <w:lang w:eastAsia="zh-CN"/>
        </w:rPr>
        <w:t>The product is used high quality zirconia.</w:t>
      </w:r>
      <w:r>
        <w:rPr>
          <w:rFonts w:hAnsi="宋体" w:eastAsia="宋体" w:cs="宋体"/>
          <w:sz w:val="18"/>
          <w:szCs w:val="18"/>
          <w:lang w:eastAsia="zh-CN"/>
        </w:rPr>
        <w:t xml:space="preserve"> </w:t>
      </w:r>
      <w:r>
        <w:rPr>
          <w:rFonts w:hint="eastAsia" w:hAnsi="宋体" w:eastAsia="宋体" w:cs="宋体"/>
          <w:sz w:val="18"/>
          <w:szCs w:val="18"/>
          <w:lang w:eastAsia="zh-CN"/>
        </w:rPr>
        <w:t>alumina inorganic coating process and advanced control process,</w:t>
      </w:r>
      <w:r>
        <w:rPr>
          <w:rFonts w:hAnsi="宋体" w:eastAsia="宋体" w:cs="宋体"/>
          <w:sz w:val="18"/>
          <w:szCs w:val="18"/>
          <w:lang w:eastAsia="zh-CN"/>
        </w:rPr>
        <w:t xml:space="preserve"> </w:t>
      </w:r>
      <w:r>
        <w:rPr>
          <w:rFonts w:hint="eastAsia" w:hAnsi="宋体" w:eastAsia="宋体" w:cs="宋体"/>
          <w:sz w:val="18"/>
          <w:szCs w:val="18"/>
          <w:lang w:eastAsia="zh-CN"/>
        </w:rPr>
        <w:t>and special organic surface treatment.</w:t>
      </w:r>
      <w:r>
        <w:rPr>
          <w:rFonts w:hAnsi="宋体" w:eastAsia="宋体" w:cs="宋体"/>
          <w:sz w:val="18"/>
          <w:szCs w:val="18"/>
          <w:lang w:eastAsia="zh-CN"/>
        </w:rPr>
        <w:t xml:space="preserve"> </w:t>
      </w:r>
      <w:r>
        <w:rPr>
          <w:rFonts w:hint="eastAsia" w:hAnsi="宋体" w:eastAsia="宋体" w:cs="宋体"/>
          <w:sz w:val="18"/>
          <w:szCs w:val="18"/>
          <w:lang w:eastAsia="zh-CN"/>
        </w:rPr>
        <w:t>Product are easily moist</w:t>
      </w:r>
      <w:r>
        <w:rPr>
          <w:rFonts w:hAnsi="宋体" w:eastAsia="宋体" w:cs="宋体"/>
          <w:sz w:val="18"/>
          <w:szCs w:val="18"/>
          <w:lang w:eastAsia="zh-CN"/>
        </w:rPr>
        <w:t xml:space="preserve"> </w:t>
      </w:r>
      <w:r>
        <w:rPr>
          <w:rFonts w:hint="eastAsia" w:hAnsi="宋体" w:eastAsia="宋体" w:cs="宋体"/>
          <w:sz w:val="18"/>
          <w:szCs w:val="18"/>
          <w:lang w:eastAsia="zh-CN"/>
        </w:rPr>
        <w:t>,scattered,</w:t>
      </w:r>
      <w:r>
        <w:rPr>
          <w:rFonts w:hAnsi="宋体" w:eastAsia="宋体" w:cs="宋体"/>
          <w:sz w:val="18"/>
          <w:szCs w:val="18"/>
          <w:lang w:eastAsia="zh-CN"/>
        </w:rPr>
        <w:t xml:space="preserve"> </w:t>
      </w:r>
      <w:r>
        <w:rPr>
          <w:rFonts w:hint="eastAsia" w:hAnsi="宋体" w:eastAsia="宋体" w:cs="宋体"/>
          <w:sz w:val="18"/>
          <w:szCs w:val="18"/>
          <w:lang w:eastAsia="zh-CN"/>
        </w:rPr>
        <w:t>mixed with other resins.</w:t>
      </w:r>
      <w:r>
        <w:rPr>
          <w:rFonts w:hAnsi="宋体" w:eastAsia="宋体" w:cs="宋体"/>
          <w:sz w:val="18"/>
          <w:szCs w:val="18"/>
          <w:lang w:eastAsia="zh-CN"/>
        </w:rPr>
        <w:t xml:space="preserve"> </w:t>
      </w:r>
      <w:r>
        <w:rPr>
          <w:rFonts w:hint="eastAsia" w:hAnsi="宋体" w:eastAsia="宋体" w:cs="宋体"/>
          <w:sz w:val="18"/>
          <w:szCs w:val="18"/>
          <w:lang w:eastAsia="zh-CN"/>
        </w:rPr>
        <w:t>Its hue and brightness are relatively stable,</w:t>
      </w:r>
      <w:r>
        <w:rPr>
          <w:rFonts w:hAnsi="宋体" w:eastAsia="宋体" w:cs="宋体"/>
          <w:sz w:val="18"/>
          <w:szCs w:val="18"/>
          <w:lang w:eastAsia="zh-CN"/>
        </w:rPr>
        <w:t xml:space="preserve"> </w:t>
      </w:r>
      <w:r>
        <w:rPr>
          <w:rFonts w:hint="eastAsia" w:hAnsi="宋体" w:eastAsia="宋体" w:cs="宋体"/>
          <w:sz w:val="18"/>
          <w:szCs w:val="18"/>
          <w:lang w:eastAsia="zh-CN"/>
        </w:rPr>
        <w:t>and has good at attached,</w:t>
      </w:r>
      <w:r>
        <w:rPr>
          <w:rFonts w:hAnsi="宋体" w:eastAsia="宋体" w:cs="宋体"/>
          <w:sz w:val="18"/>
          <w:szCs w:val="18"/>
          <w:lang w:eastAsia="zh-CN"/>
        </w:rPr>
        <w:t xml:space="preserve"> </w:t>
      </w:r>
      <w:r>
        <w:rPr>
          <w:rFonts w:hint="eastAsia" w:hAnsi="宋体" w:eastAsia="宋体" w:cs="宋体"/>
          <w:sz w:val="18"/>
          <w:szCs w:val="18"/>
          <w:lang w:eastAsia="zh-CN"/>
        </w:rPr>
        <w:t>weather resistance and high power and anti-chalking property,</w:t>
      </w:r>
      <w:r>
        <w:rPr>
          <w:rFonts w:hAnsi="宋体" w:eastAsia="宋体" w:cs="宋体"/>
          <w:sz w:val="18"/>
          <w:szCs w:val="18"/>
          <w:lang w:eastAsia="zh-CN"/>
        </w:rPr>
        <w:t xml:space="preserve"> </w:t>
      </w:r>
      <w:r>
        <w:rPr>
          <w:rFonts w:hint="eastAsia" w:hAnsi="宋体" w:eastAsia="宋体" w:cs="宋体"/>
          <w:sz w:val="18"/>
          <w:szCs w:val="18"/>
          <w:lang w:eastAsia="zh-CN"/>
        </w:rPr>
        <w:t>resistance to yellowing and other performance.</w:t>
      </w:r>
      <w:r>
        <w:rPr>
          <w:rFonts w:hAnsi="宋体" w:eastAsia="宋体" w:cs="宋体"/>
          <w:sz w:val="18"/>
          <w:szCs w:val="18"/>
          <w:lang w:eastAsia="zh-CN"/>
        </w:rPr>
        <w:t xml:space="preserve"> </w:t>
      </w:r>
      <w:r>
        <w:rPr>
          <w:rFonts w:hint="eastAsia" w:hAnsi="宋体" w:eastAsia="宋体" w:cs="宋体"/>
          <w:sz w:val="18"/>
          <w:szCs w:val="18"/>
          <w:lang w:eastAsia="zh-CN"/>
        </w:rPr>
        <w:t>Useable in both water and oil systems,</w:t>
      </w:r>
      <w:r>
        <w:rPr>
          <w:rFonts w:hAnsi="宋体" w:eastAsia="宋体" w:cs="宋体"/>
          <w:sz w:val="18"/>
          <w:szCs w:val="18"/>
          <w:lang w:eastAsia="zh-CN"/>
        </w:rPr>
        <w:t xml:space="preserve"> </w:t>
      </w:r>
      <w:r>
        <w:rPr>
          <w:rFonts w:hint="eastAsia" w:hAnsi="宋体" w:eastAsia="宋体" w:cs="宋体"/>
          <w:sz w:val="18"/>
          <w:szCs w:val="18"/>
          <w:lang w:eastAsia="zh-CN"/>
        </w:rPr>
        <w:t>perfect dispersion and hiding power in oil systems</w:t>
      </w:r>
      <w:r>
        <w:rPr>
          <w:rFonts w:hAnsi="宋体" w:eastAsia="宋体" w:cs="宋体"/>
          <w:sz w:val="18"/>
          <w:szCs w:val="18"/>
          <w:lang w:eastAsia="zh-CN"/>
        </w:rPr>
        <w:t xml:space="preserve"> </w:t>
      </w:r>
      <w:r>
        <w:rPr>
          <w:rFonts w:hint="eastAsia" w:hAnsi="宋体" w:eastAsia="宋体" w:cs="宋体"/>
          <w:sz w:val="18"/>
          <w:szCs w:val="18"/>
          <w:lang w:eastAsia="zh-CN"/>
        </w:rPr>
        <w:t>(paint printing ink and so on).</w:t>
      </w:r>
    </w:p>
    <w:p>
      <w:pPr>
        <w:kinsoku w:val="0"/>
        <w:overflowPunct w:val="0"/>
        <w:autoSpaceDE w:val="0"/>
        <w:autoSpaceDN w:val="0"/>
        <w:adjustRightInd w:val="0"/>
        <w:spacing w:before="36" w:line="182" w:lineRule="auto"/>
        <w:ind w:right="109" w:firstLine="180" w:firstLineChars="100"/>
        <w:rPr>
          <w:rFonts w:ascii="宋体" w:hAnsi="宋体" w:eastAsia="宋体" w:cs="宋体"/>
          <w:sz w:val="18"/>
          <w:szCs w:val="18"/>
          <w:lang w:eastAsia="zh-CN"/>
        </w:rPr>
      </w:pPr>
    </w:p>
    <w:p>
      <w:pPr>
        <w:kinsoku w:val="0"/>
        <w:overflowPunct w:val="0"/>
        <w:autoSpaceDE w:val="0"/>
        <w:autoSpaceDN w:val="0"/>
        <w:adjustRightInd w:val="0"/>
        <w:outlineLvl w:val="0"/>
        <w:rPr>
          <w:rFonts w:ascii="微软雅黑" w:hAnsi="Times New Roman" w:eastAsia="微软雅黑" w:cs="微软雅黑"/>
          <w:sz w:val="24"/>
          <w:szCs w:val="24"/>
          <w:lang w:eastAsia="zh-CN"/>
        </w:rPr>
      </w:pP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>产品包装规格</w:t>
      </w:r>
    </w:p>
    <w:p>
      <w:pPr>
        <w:kinsoku w:val="0"/>
        <w:overflowPunct w:val="0"/>
        <w:autoSpaceDE w:val="0"/>
        <w:autoSpaceDN w:val="0"/>
        <w:adjustRightInd w:val="0"/>
        <w:outlineLvl w:val="0"/>
        <w:rPr>
          <w:rFonts w:ascii="微软雅黑" w:hAnsi="Times New Roman" w:eastAsia="微软雅黑" w:cs="微软雅黑"/>
          <w:sz w:val="24"/>
          <w:szCs w:val="24"/>
          <w:lang w:eastAsia="zh-CN"/>
        </w:rPr>
      </w:pP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>Package</w:t>
      </w:r>
    </w:p>
    <w:p>
      <w:pPr>
        <w:kinsoku w:val="0"/>
        <w:overflowPunct w:val="0"/>
        <w:autoSpaceDE w:val="0"/>
        <w:autoSpaceDN w:val="0"/>
        <w:adjustRightInd w:val="0"/>
        <w:spacing w:before="36" w:line="182" w:lineRule="auto"/>
        <w:ind w:right="109" w:firstLine="180" w:firstLineChars="100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纸塑复合阀口袋：25KG包；塑编袋：500KGS/包或1000KGS/包</w:t>
      </w:r>
    </w:p>
    <w:p>
      <w:pPr>
        <w:kinsoku w:val="0"/>
        <w:overflowPunct w:val="0"/>
        <w:autoSpaceDE w:val="0"/>
        <w:autoSpaceDN w:val="0"/>
        <w:adjustRightInd w:val="0"/>
        <w:spacing w:line="365" w:lineRule="exact"/>
        <w:ind w:firstLine="180" w:firstLineChars="100"/>
        <w:rPr>
          <w:rFonts w:hAnsi="宋体" w:eastAsia="宋体" w:cs="宋体"/>
          <w:sz w:val="18"/>
          <w:szCs w:val="18"/>
          <w:lang w:eastAsia="zh-CN"/>
        </w:rPr>
      </w:pPr>
      <w:r>
        <w:rPr>
          <w:rFonts w:hint="eastAsia" w:hAnsi="宋体" w:eastAsia="宋体" w:cs="宋体"/>
          <w:sz w:val="18"/>
          <w:szCs w:val="18"/>
          <w:lang w:eastAsia="zh-CN"/>
        </w:rPr>
        <w:t>Paper and plastic valve bag: 25kgs/bag；Pl</w:t>
      </w:r>
      <w:r>
        <w:rPr>
          <w:rFonts w:hAnsi="宋体" w:eastAsia="宋体" w:cs="宋体"/>
          <w:sz w:val="18"/>
          <w:szCs w:val="18"/>
          <w:lang w:eastAsia="zh-CN"/>
        </w:rPr>
        <w:t>as</w:t>
      </w:r>
      <w:r>
        <w:rPr>
          <w:rFonts w:hint="eastAsia" w:hAnsi="宋体" w:eastAsia="宋体" w:cs="宋体"/>
          <w:sz w:val="18"/>
          <w:szCs w:val="18"/>
          <w:lang w:eastAsia="zh-CN"/>
        </w:rPr>
        <w:t>tic woven bag:500KGS/bag or 1000KGS/bag</w:t>
      </w:r>
    </w:p>
    <w:p>
      <w:pPr>
        <w:kinsoku w:val="0"/>
        <w:overflowPunct w:val="0"/>
        <w:autoSpaceDE w:val="0"/>
        <w:autoSpaceDN w:val="0"/>
        <w:adjustRightInd w:val="0"/>
        <w:ind w:left="100"/>
        <w:outlineLvl w:val="0"/>
        <w:rPr>
          <w:rFonts w:ascii="微软雅黑" w:hAnsi="Times New Roman" w:eastAsia="微软雅黑" w:cs="微软雅黑"/>
          <w:sz w:val="24"/>
          <w:szCs w:val="24"/>
          <w:lang w:eastAsia="zh-CN"/>
        </w:rPr>
      </w:pP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>其他说明</w:t>
      </w:r>
    </w:p>
    <w:p>
      <w:pPr>
        <w:kinsoku w:val="0"/>
        <w:overflowPunct w:val="0"/>
        <w:autoSpaceDE w:val="0"/>
        <w:autoSpaceDN w:val="0"/>
        <w:adjustRightInd w:val="0"/>
        <w:ind w:left="100"/>
        <w:outlineLvl w:val="0"/>
        <w:rPr>
          <w:rFonts w:ascii="微软雅黑" w:hAnsi="Times New Roman" w:eastAsia="微软雅黑" w:cs="微软雅黑"/>
          <w:sz w:val="24"/>
          <w:szCs w:val="24"/>
          <w:lang w:eastAsia="zh-CN"/>
        </w:rPr>
      </w:pPr>
      <w:r>
        <w:rPr>
          <w:rFonts w:hint="eastAsia" w:ascii="微软雅黑" w:hAnsi="Times New Roman" w:eastAsia="微软雅黑" w:cs="微软雅黑"/>
          <w:sz w:val="24"/>
          <w:szCs w:val="24"/>
          <w:lang w:eastAsia="zh-CN"/>
        </w:rPr>
        <w:t>Remark</w:t>
      </w:r>
    </w:p>
    <w:p>
      <w:pPr>
        <w:kinsoku w:val="0"/>
        <w:overflowPunct w:val="0"/>
        <w:autoSpaceDE w:val="0"/>
        <w:autoSpaceDN w:val="0"/>
        <w:adjustRightInd w:val="0"/>
        <w:spacing w:line="365" w:lineRule="exact"/>
        <w:ind w:firstLine="180" w:firstLineChars="100"/>
        <w:rPr>
          <w:rFonts w:hAnsi="宋体" w:eastAsia="宋体" w:cs="宋体"/>
          <w:sz w:val="18"/>
          <w:szCs w:val="18"/>
          <w:lang w:eastAsia="zh-CN"/>
        </w:rPr>
      </w:pPr>
      <w:r>
        <w:rPr>
          <w:rFonts w:hint="eastAsia" w:hAnsi="宋体" w:eastAsia="宋体" w:cs="宋体"/>
          <w:sz w:val="18"/>
          <w:szCs w:val="18"/>
          <w:lang w:eastAsia="zh-CN"/>
        </w:rPr>
        <w:t>产品的详细技术资料，敬请向供方联系索取；产品的质量指标以供方提供的检测报告为准。</w:t>
      </w:r>
    </w:p>
    <w:p>
      <w:pPr>
        <w:kinsoku w:val="0"/>
        <w:overflowPunct w:val="0"/>
        <w:autoSpaceDE w:val="0"/>
        <w:autoSpaceDN w:val="0"/>
        <w:adjustRightInd w:val="0"/>
        <w:spacing w:line="365" w:lineRule="exact"/>
        <w:ind w:firstLine="180" w:firstLineChars="100"/>
        <w:rPr>
          <w:rFonts w:ascii="Calibri" w:hAnsi="Calibri" w:cs="Calibri"/>
          <w:sz w:val="18"/>
          <w:szCs w:val="18"/>
          <w:lang w:eastAsia="zh-CN"/>
        </w:rPr>
      </w:pPr>
      <w:r>
        <w:rPr>
          <w:rFonts w:hint="eastAsia" w:hAnsi="宋体" w:eastAsia="宋体" w:cs="宋体"/>
          <w:sz w:val="18"/>
          <w:szCs w:val="18"/>
          <w:lang w:eastAsia="zh-CN"/>
        </w:rPr>
        <w:t>For detail specifications, please contact your suppliers. Products quality performance is subject to supplier</w:t>
      </w:r>
      <w:r>
        <w:rPr>
          <w:rFonts w:hAnsi="宋体" w:eastAsia="宋体" w:cs="宋体"/>
          <w:sz w:val="18"/>
          <w:szCs w:val="18"/>
          <w:lang w:eastAsia="zh-CN"/>
        </w:rPr>
        <w:t>’</w:t>
      </w:r>
      <w:r>
        <w:rPr>
          <w:rFonts w:hint="eastAsia" w:hAnsi="宋体" w:eastAsia="宋体" w:cs="宋体"/>
          <w:sz w:val="18"/>
          <w:szCs w:val="18"/>
          <w:lang w:eastAsia="zh-CN"/>
        </w:rPr>
        <w:t>s  test report.</w:t>
      </w:r>
    </w:p>
    <w:sectPr>
      <w:type w:val="continuous"/>
      <w:pgSz w:w="11907" w:h="16840"/>
      <w:pgMar w:top="440" w:right="920" w:bottom="0" w:left="6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BatangChe">
    <w:panose1 w:val="02030609000101010101"/>
    <w:charset w:val="81"/>
    <w:family w:val="moder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4NWFlNDExZmU1MGJjNjdiNTQ1Y2I0NGM0NGEyNTEifQ=="/>
  </w:docVars>
  <w:rsids>
    <w:rsidRoot w:val="001F2BC6"/>
    <w:rsid w:val="00170FC7"/>
    <w:rsid w:val="00184AF0"/>
    <w:rsid w:val="001E3DBE"/>
    <w:rsid w:val="001F23BD"/>
    <w:rsid w:val="001F2BC6"/>
    <w:rsid w:val="00223F2C"/>
    <w:rsid w:val="002F3994"/>
    <w:rsid w:val="002F6BB7"/>
    <w:rsid w:val="003B5096"/>
    <w:rsid w:val="00435B75"/>
    <w:rsid w:val="004937AE"/>
    <w:rsid w:val="004B3F6C"/>
    <w:rsid w:val="004D5E3D"/>
    <w:rsid w:val="004F11B4"/>
    <w:rsid w:val="0059712F"/>
    <w:rsid w:val="00676581"/>
    <w:rsid w:val="006C3B7B"/>
    <w:rsid w:val="0072070E"/>
    <w:rsid w:val="007C4E65"/>
    <w:rsid w:val="00826109"/>
    <w:rsid w:val="008B77C1"/>
    <w:rsid w:val="008D28A3"/>
    <w:rsid w:val="00981B02"/>
    <w:rsid w:val="009B1F51"/>
    <w:rsid w:val="009C6BBF"/>
    <w:rsid w:val="00A5242B"/>
    <w:rsid w:val="00A777C0"/>
    <w:rsid w:val="00B1666F"/>
    <w:rsid w:val="00BB08A1"/>
    <w:rsid w:val="00BC27A5"/>
    <w:rsid w:val="00BD3797"/>
    <w:rsid w:val="00BF7A77"/>
    <w:rsid w:val="00BF7B88"/>
    <w:rsid w:val="00CA26DB"/>
    <w:rsid w:val="00CB7BF8"/>
    <w:rsid w:val="00D23A8F"/>
    <w:rsid w:val="00D65328"/>
    <w:rsid w:val="00D733F5"/>
    <w:rsid w:val="00DA13F2"/>
    <w:rsid w:val="00E65600"/>
    <w:rsid w:val="00E70415"/>
    <w:rsid w:val="00E94A15"/>
    <w:rsid w:val="00EE3B3E"/>
    <w:rsid w:val="00F142EC"/>
    <w:rsid w:val="00FE0E56"/>
    <w:rsid w:val="016215D8"/>
    <w:rsid w:val="019A4953"/>
    <w:rsid w:val="08083D95"/>
    <w:rsid w:val="091A7D34"/>
    <w:rsid w:val="0C5D1638"/>
    <w:rsid w:val="0D847AA1"/>
    <w:rsid w:val="11A43B3E"/>
    <w:rsid w:val="11B34F3D"/>
    <w:rsid w:val="15C24AF9"/>
    <w:rsid w:val="1A4D193F"/>
    <w:rsid w:val="1E240AED"/>
    <w:rsid w:val="1EE86D9D"/>
    <w:rsid w:val="1F021C63"/>
    <w:rsid w:val="1F376C98"/>
    <w:rsid w:val="1FD1568A"/>
    <w:rsid w:val="22A55BF0"/>
    <w:rsid w:val="24F53264"/>
    <w:rsid w:val="26FA1A7B"/>
    <w:rsid w:val="2957512B"/>
    <w:rsid w:val="2A090612"/>
    <w:rsid w:val="2BCF0DC9"/>
    <w:rsid w:val="2F134229"/>
    <w:rsid w:val="2F6C52C8"/>
    <w:rsid w:val="37076C48"/>
    <w:rsid w:val="3EAF2C0A"/>
    <w:rsid w:val="41843813"/>
    <w:rsid w:val="43151B7C"/>
    <w:rsid w:val="436A616E"/>
    <w:rsid w:val="449076B6"/>
    <w:rsid w:val="4878118F"/>
    <w:rsid w:val="49512D0C"/>
    <w:rsid w:val="4F5F166D"/>
    <w:rsid w:val="50F965AC"/>
    <w:rsid w:val="530E1371"/>
    <w:rsid w:val="53637406"/>
    <w:rsid w:val="53A61B5D"/>
    <w:rsid w:val="56300838"/>
    <w:rsid w:val="574A7166"/>
    <w:rsid w:val="5C7665B7"/>
    <w:rsid w:val="5E9C48CE"/>
    <w:rsid w:val="625D3FDB"/>
    <w:rsid w:val="6370218A"/>
    <w:rsid w:val="65460946"/>
    <w:rsid w:val="69592EBE"/>
    <w:rsid w:val="6A864A99"/>
    <w:rsid w:val="6B22083E"/>
    <w:rsid w:val="6E0B0613"/>
    <w:rsid w:val="70DB1F13"/>
    <w:rsid w:val="733A295E"/>
    <w:rsid w:val="733C04C3"/>
    <w:rsid w:val="77C32375"/>
    <w:rsid w:val="7E83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00"/>
    </w:pPr>
    <w:rPr>
      <w:rFonts w:ascii="微软雅黑" w:hAnsi="微软雅黑" w:eastAsia="微软雅黑"/>
      <w:sz w:val="24"/>
      <w:szCs w:val="24"/>
    </w:r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标题 11"/>
    <w:basedOn w:val="1"/>
    <w:qFormat/>
    <w:uiPriority w:val="1"/>
    <w:pPr>
      <w:ind w:left="100"/>
      <w:outlineLvl w:val="1"/>
    </w:pPr>
    <w:rPr>
      <w:rFonts w:ascii="微软雅黑" w:hAnsi="微软雅黑" w:eastAsia="微软雅黑"/>
      <w:sz w:val="36"/>
      <w:szCs w:val="36"/>
    </w:rPr>
  </w:style>
  <w:style w:type="paragraph" w:customStyle="1" w:styleId="11">
    <w:name w:val="标题 21"/>
    <w:basedOn w:val="1"/>
    <w:qFormat/>
    <w:uiPriority w:val="1"/>
    <w:pPr>
      <w:ind w:left="100"/>
      <w:outlineLvl w:val="2"/>
    </w:pPr>
    <w:rPr>
      <w:rFonts w:ascii="微软雅黑" w:hAnsi="微软雅黑" w:eastAsia="微软雅黑"/>
      <w:sz w:val="32"/>
      <w:szCs w:val="32"/>
    </w:r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5">
    <w:name w:val="页脚 字符"/>
    <w:basedOn w:val="8"/>
    <w:link w:val="5"/>
    <w:qFormat/>
    <w:uiPriority w:val="99"/>
    <w:rPr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eastAsia="微软雅黑" w:cs="微软雅黑" w:hAnsiTheme="minorHAnsi"/>
      <w:color w:val="000000"/>
      <w:sz w:val="24"/>
      <w:szCs w:val="24"/>
      <w:lang w:val="en-US" w:eastAsia="en-US" w:bidi="ar-SA"/>
    </w:rPr>
  </w:style>
  <w:style w:type="character" w:customStyle="1" w:styleId="17">
    <w:name w:val="批注框文本 字符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1009</Words>
  <Characters>2243</Characters>
  <Lines>18</Lines>
  <Paragraphs>5</Paragraphs>
  <TotalTime>45</TotalTime>
  <ScaleCrop>false</ScaleCrop>
  <LinksUpToDate>false</LinksUpToDate>
  <CharactersWithSpaces>2551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2019-07-04T05:49:00Z</dcterms:created>
  <dc:creator>xiaofeng shu</dc:creator>
  <cp:lastModifiedBy>徐静</cp:lastModifiedBy>
  <cp:lastPrinted>2018-05-18T06:00:00Z</cp:lastPrinted>
  <dcterms:modified xsi:type="dcterms:W3CDTF">2023-05-10T01:36:50Z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2016-03-23T00:00:00Z</vt:filetime>
  </property>
  <property fmtid="{D5CDD505-2E9C-101B-9397-08002B2CF9AE}" pid="3" name="LastSaved">
    <vt:filetime>2016-08-22T00:00:00Z</vt:filetime>
  </property>
  <property fmtid="{D5CDD505-2E9C-101B-9397-08002B2CF9AE}" pid="4" name="KSOProductBuildVer">
    <vt:lpwstr>2052-11.1.0.14036</vt:lpwstr>
  </property>
  <property fmtid="{D5CDD505-2E9C-101B-9397-08002B2CF9AE}" pid="5" name="ICV">
    <vt:lpwstr>08BDDD48EA414F459D6870B2798A90ED</vt:lpwstr>
  </property>
</Properties>
</file>